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5B0D8" w14:textId="4AC12093" w:rsidR="00D03063" w:rsidRPr="00606707" w:rsidRDefault="00D03063" w:rsidP="00A70D38">
      <w:pPr>
        <w:spacing w:after="0" w:line="240" w:lineRule="auto"/>
        <w:rPr>
          <w:rFonts w:eastAsia="Times New Roman" w:cs="Times New Roman"/>
          <w:b/>
          <w:bCs/>
          <w:color w:val="000000"/>
          <w:kern w:val="0"/>
          <w:sz w:val="32"/>
          <w:szCs w:val="32"/>
          <w:lang w:eastAsia="en-GB"/>
          <w14:ligatures w14:val="none"/>
        </w:rPr>
      </w:pPr>
      <w:r w:rsidRPr="00606707">
        <w:rPr>
          <w:rFonts w:eastAsia="Times New Roman" w:cs="Times New Roman"/>
          <w:b/>
          <w:bCs/>
          <w:color w:val="000000"/>
          <w:kern w:val="0"/>
          <w:sz w:val="32"/>
          <w:szCs w:val="32"/>
          <w:lang w:eastAsia="en-GB"/>
          <w14:ligatures w14:val="none"/>
        </w:rPr>
        <w:t>Case Study</w:t>
      </w:r>
      <w:r w:rsidR="005C27E9" w:rsidRPr="00606707">
        <w:rPr>
          <w:rFonts w:eastAsia="Times New Roman" w:cs="Times New Roman"/>
          <w:b/>
          <w:bCs/>
          <w:color w:val="000000"/>
          <w:kern w:val="0"/>
          <w:sz w:val="32"/>
          <w:szCs w:val="32"/>
          <w:lang w:eastAsia="en-GB"/>
          <w14:ligatures w14:val="none"/>
        </w:rPr>
        <w:t>:</w:t>
      </w:r>
      <w:r w:rsidRPr="00606707">
        <w:rPr>
          <w:rFonts w:eastAsia="Times New Roman" w:cs="Times New Roman"/>
          <w:b/>
          <w:bCs/>
          <w:color w:val="000000"/>
          <w:kern w:val="0"/>
          <w:sz w:val="32"/>
          <w:szCs w:val="32"/>
          <w:lang w:eastAsia="en-GB"/>
          <w14:ligatures w14:val="none"/>
        </w:rPr>
        <w:t xml:space="preserve"> For Women Scotland vs Scottish Ministers</w:t>
      </w:r>
    </w:p>
    <w:p w14:paraId="53A22838" w14:textId="77777777" w:rsidR="00A70D38" w:rsidRDefault="00A70D38" w:rsidP="00A70D38">
      <w:pPr>
        <w:spacing w:after="0" w:line="240" w:lineRule="auto"/>
        <w:rPr>
          <w:rFonts w:eastAsia="Times New Roman" w:cs="Times New Roman"/>
          <w:color w:val="000000"/>
          <w:kern w:val="0"/>
          <w:lang w:eastAsia="en-GB"/>
          <w14:ligatures w14:val="none"/>
        </w:rPr>
      </w:pPr>
    </w:p>
    <w:p w14:paraId="446CA0D2" w14:textId="3FB9BD5B" w:rsidR="00D03063" w:rsidRPr="00A70D38" w:rsidRDefault="00D03063" w:rsidP="00A70D38">
      <w:pPr>
        <w:spacing w:after="0" w:line="240" w:lineRule="auto"/>
        <w:rPr>
          <w:rFonts w:eastAsia="Times New Roman" w:cs="Times New Roman"/>
          <w:color w:val="000000"/>
          <w:kern w:val="0"/>
          <w:lang w:eastAsia="en-GB"/>
          <w14:ligatures w14:val="none"/>
        </w:rPr>
      </w:pPr>
      <w:r w:rsidRPr="00A70D38">
        <w:rPr>
          <w:rFonts w:eastAsia="Times New Roman" w:cs="Times New Roman"/>
          <w:color w:val="000000"/>
          <w:kern w:val="0"/>
          <w:lang w:eastAsia="en-GB"/>
          <w14:ligatures w14:val="none"/>
        </w:rPr>
        <w:t>The 2025 Supreme Court ruling in </w:t>
      </w:r>
      <w:r w:rsidRPr="00A70D38">
        <w:rPr>
          <w:rFonts w:eastAsia="Times New Roman" w:cs="Times New Roman"/>
          <w:i/>
          <w:iCs/>
          <w:color w:val="000000"/>
          <w:kern w:val="0"/>
          <w:lang w:eastAsia="en-GB"/>
          <w14:ligatures w14:val="none"/>
        </w:rPr>
        <w:t>For Women Scotland Ltd v Scottish Ministers</w:t>
      </w:r>
      <w:r w:rsidRPr="00A70D38">
        <w:rPr>
          <w:rFonts w:eastAsia="Times New Roman" w:cs="Times New Roman"/>
          <w:color w:val="000000"/>
          <w:kern w:val="0"/>
          <w:lang w:eastAsia="en-GB"/>
          <w14:ligatures w14:val="none"/>
        </w:rPr>
        <w:t> re</w:t>
      </w:r>
      <w:r w:rsidRPr="00A70D38">
        <w:rPr>
          <w:rFonts w:eastAsia="Times New Roman" w:cs="Times New Roman"/>
          <w:color w:val="000000"/>
          <w:kern w:val="0"/>
          <w:lang w:eastAsia="en-GB"/>
          <w14:ligatures w14:val="none"/>
        </w:rPr>
        <w:noBreakHyphen/>
        <w:t>defined how UK equality law understands “sex”, holding that in the Equality Act 2010 it means biological sex, not the sex recorded on a Gender Recognition Certificate, with wide consequences for law and organisational practice.</w:t>
      </w:r>
      <w:r w:rsidR="00F21DFF" w:rsidRPr="00A70D38">
        <w:rPr>
          <w:rFonts w:eastAsia="Times New Roman" w:cs="Times New Roman"/>
          <w:color w:val="000000"/>
          <w:kern w:val="0"/>
          <w:lang w:eastAsia="en-GB"/>
          <w14:ligatures w14:val="none"/>
        </w:rPr>
        <w:t xml:space="preserve"> </w:t>
      </w:r>
    </w:p>
    <w:p w14:paraId="553FEF12" w14:textId="77777777" w:rsidR="00A70D38" w:rsidRDefault="00A70D38" w:rsidP="00A70D38">
      <w:pPr>
        <w:spacing w:after="0" w:line="240" w:lineRule="auto"/>
        <w:outlineLvl w:val="1"/>
        <w:rPr>
          <w:rFonts w:eastAsia="Times New Roman" w:cs="Times New Roman"/>
          <w:b/>
          <w:bCs/>
          <w:color w:val="000000"/>
          <w:kern w:val="0"/>
          <w:sz w:val="36"/>
          <w:szCs w:val="36"/>
          <w:lang w:eastAsia="en-GB"/>
          <w14:ligatures w14:val="none"/>
        </w:rPr>
      </w:pPr>
    </w:p>
    <w:p w14:paraId="166282EA" w14:textId="0EEDD639" w:rsidR="00D03063" w:rsidRPr="00A70D38" w:rsidRDefault="00D03063" w:rsidP="00A70D38">
      <w:pPr>
        <w:spacing w:after="0" w:line="240" w:lineRule="auto"/>
        <w:outlineLvl w:val="1"/>
        <w:rPr>
          <w:rFonts w:eastAsia="Times New Roman" w:cs="Times New Roman"/>
          <w:b/>
          <w:bCs/>
          <w:color w:val="000000"/>
          <w:kern w:val="0"/>
          <w:sz w:val="32"/>
          <w:szCs w:val="32"/>
          <w:lang w:eastAsia="en-GB"/>
          <w14:ligatures w14:val="none"/>
        </w:rPr>
      </w:pPr>
      <w:r w:rsidRPr="00A70D38">
        <w:rPr>
          <w:rFonts w:eastAsia="Times New Roman" w:cs="Times New Roman"/>
          <w:b/>
          <w:bCs/>
          <w:color w:val="000000"/>
          <w:kern w:val="0"/>
          <w:sz w:val="32"/>
          <w:szCs w:val="32"/>
          <w:lang w:eastAsia="en-GB"/>
          <w14:ligatures w14:val="none"/>
        </w:rPr>
        <w:t>Background and the legal question</w:t>
      </w:r>
    </w:p>
    <w:p w14:paraId="5C4510B1" w14:textId="4953559B" w:rsidR="00D03063" w:rsidRPr="00A70D38" w:rsidRDefault="00D03063" w:rsidP="00A70D38">
      <w:pPr>
        <w:spacing w:after="0" w:line="240" w:lineRule="auto"/>
        <w:rPr>
          <w:rFonts w:eastAsia="Times New Roman" w:cs="Times New Roman"/>
          <w:color w:val="000000"/>
          <w:kern w:val="0"/>
          <w:lang w:eastAsia="en-GB"/>
          <w14:ligatures w14:val="none"/>
        </w:rPr>
      </w:pPr>
      <w:r w:rsidRPr="00A70D38">
        <w:rPr>
          <w:rFonts w:eastAsia="Times New Roman" w:cs="Times New Roman"/>
          <w:color w:val="000000"/>
          <w:kern w:val="0"/>
          <w:lang w:eastAsia="en-GB"/>
          <w14:ligatures w14:val="none"/>
        </w:rPr>
        <w:t xml:space="preserve">The case concerned Scottish Government guidance which set a minimum number of “women” on certain boards and treated some trans women with a Gender Recognition Certificate (GRC) as women for </w:t>
      </w:r>
      <w:r w:rsidR="005C27E9" w:rsidRPr="00A70D38">
        <w:rPr>
          <w:rFonts w:eastAsia="Times New Roman" w:cs="Times New Roman"/>
          <w:color w:val="000000"/>
          <w:kern w:val="0"/>
          <w:lang w:eastAsia="en-GB"/>
          <w14:ligatures w14:val="none"/>
        </w:rPr>
        <w:t xml:space="preserve">this </w:t>
      </w:r>
      <w:r w:rsidRPr="00A70D38">
        <w:rPr>
          <w:rFonts w:eastAsia="Times New Roman" w:cs="Times New Roman"/>
          <w:color w:val="000000"/>
          <w:kern w:val="0"/>
          <w:lang w:eastAsia="en-GB"/>
          <w14:ligatures w14:val="none"/>
        </w:rPr>
        <w:t>purpos</w:t>
      </w:r>
      <w:r w:rsidR="005C27E9" w:rsidRPr="00A70D38">
        <w:rPr>
          <w:rFonts w:eastAsia="Times New Roman" w:cs="Times New Roman"/>
          <w:color w:val="000000"/>
          <w:kern w:val="0"/>
          <w:lang w:eastAsia="en-GB"/>
          <w14:ligatures w14:val="none"/>
        </w:rPr>
        <w:t>e</w:t>
      </w:r>
      <w:r w:rsidRPr="00A70D38">
        <w:rPr>
          <w:rFonts w:eastAsia="Times New Roman" w:cs="Times New Roman"/>
          <w:color w:val="000000"/>
          <w:kern w:val="0"/>
          <w:lang w:eastAsia="en-GB"/>
          <w14:ligatures w14:val="none"/>
        </w:rPr>
        <w:t xml:space="preserve">. For Women Scotland argued that this unlawfully expanded the meaning of “woman” beyond the Equality Act 2010. </w:t>
      </w:r>
    </w:p>
    <w:p w14:paraId="322EDDE9" w14:textId="77777777" w:rsidR="00A70D38" w:rsidRDefault="00A70D38" w:rsidP="00A70D38">
      <w:pPr>
        <w:spacing w:after="0" w:line="240" w:lineRule="auto"/>
        <w:outlineLvl w:val="1"/>
        <w:rPr>
          <w:rFonts w:eastAsia="Times New Roman" w:cs="Times New Roman"/>
          <w:b/>
          <w:bCs/>
          <w:color w:val="000000"/>
          <w:kern w:val="0"/>
          <w:sz w:val="36"/>
          <w:szCs w:val="36"/>
          <w:lang w:eastAsia="en-GB"/>
          <w14:ligatures w14:val="none"/>
        </w:rPr>
      </w:pPr>
    </w:p>
    <w:p w14:paraId="609E2D4A" w14:textId="10C35F62" w:rsidR="00D03063" w:rsidRPr="00A70D38" w:rsidRDefault="00D03063" w:rsidP="00A70D38">
      <w:pPr>
        <w:spacing w:after="0" w:line="240" w:lineRule="auto"/>
        <w:outlineLvl w:val="1"/>
        <w:rPr>
          <w:rFonts w:eastAsia="Times New Roman" w:cs="Times New Roman"/>
          <w:b/>
          <w:bCs/>
          <w:color w:val="000000"/>
          <w:kern w:val="0"/>
          <w:sz w:val="32"/>
          <w:szCs w:val="32"/>
          <w:lang w:eastAsia="en-GB"/>
          <w14:ligatures w14:val="none"/>
        </w:rPr>
      </w:pPr>
      <w:r w:rsidRPr="00A70D38">
        <w:rPr>
          <w:rFonts w:eastAsia="Times New Roman" w:cs="Times New Roman"/>
          <w:b/>
          <w:bCs/>
          <w:color w:val="000000"/>
          <w:kern w:val="0"/>
          <w:sz w:val="32"/>
          <w:szCs w:val="32"/>
          <w:lang w:eastAsia="en-GB"/>
          <w14:ligatures w14:val="none"/>
        </w:rPr>
        <w:t>The Supreme Court’s ruling</w:t>
      </w:r>
    </w:p>
    <w:p w14:paraId="2F3C6BAA" w14:textId="5AFC5383" w:rsidR="00D03063" w:rsidRPr="00A70D38" w:rsidRDefault="00D03063" w:rsidP="00A70D38">
      <w:pPr>
        <w:spacing w:after="0" w:line="240" w:lineRule="auto"/>
        <w:rPr>
          <w:rFonts w:eastAsia="Times New Roman" w:cs="Times New Roman"/>
          <w:color w:val="000000"/>
          <w:kern w:val="0"/>
          <w:lang w:eastAsia="en-GB"/>
          <w14:ligatures w14:val="none"/>
        </w:rPr>
      </w:pPr>
      <w:r w:rsidRPr="00A70D38">
        <w:rPr>
          <w:rFonts w:eastAsia="Times New Roman" w:cs="Times New Roman"/>
          <w:color w:val="000000"/>
          <w:kern w:val="0"/>
          <w:lang w:eastAsia="en-GB"/>
          <w14:ligatures w14:val="none"/>
        </w:rPr>
        <w:t>The Supreme Court unanimously allowed the appeal and held that, for the Equality Act 2010, the terms “sex”, “man” and “woman” were “always intended” to refer to biological sex, not to “certificated sex”. The Court found the Scottish guidance unlawful because it treated “woman” as including males with GRCs, and said the quota provision must be read as referring only to biological women. At the same time the Court emphasised that trans people, with or without a GRC, remain protected against discrimination under the separate protected characteristic of “gender reassignment”.</w:t>
      </w:r>
      <w:r w:rsidR="00F21DFF" w:rsidRPr="00A70D38">
        <w:rPr>
          <w:rFonts w:eastAsia="Times New Roman" w:cs="Times New Roman"/>
          <w:color w:val="000000"/>
          <w:kern w:val="0"/>
          <w:lang w:eastAsia="en-GB"/>
          <w14:ligatures w14:val="none"/>
        </w:rPr>
        <w:t xml:space="preserve"> </w:t>
      </w:r>
    </w:p>
    <w:p w14:paraId="7574E07E" w14:textId="77777777" w:rsidR="00A70D38" w:rsidRDefault="00A70D38" w:rsidP="00A70D38">
      <w:pPr>
        <w:spacing w:after="0" w:line="240" w:lineRule="auto"/>
        <w:rPr>
          <w:rFonts w:cs="Segoe UI"/>
          <w:b/>
          <w:bCs/>
        </w:rPr>
      </w:pPr>
    </w:p>
    <w:p w14:paraId="426FA150" w14:textId="4B040D09" w:rsidR="00A70D38" w:rsidRPr="00A70D38" w:rsidRDefault="00A70D38" w:rsidP="00A70D38">
      <w:pPr>
        <w:spacing w:after="0" w:line="240" w:lineRule="auto"/>
        <w:rPr>
          <w:rFonts w:cs="Segoe UI"/>
          <w:b/>
          <w:bCs/>
          <w:sz w:val="32"/>
          <w:szCs w:val="32"/>
        </w:rPr>
      </w:pPr>
      <w:r w:rsidRPr="00A70D38">
        <w:rPr>
          <w:rFonts w:cs="Segoe UI"/>
          <w:b/>
          <w:bCs/>
          <w:sz w:val="32"/>
          <w:szCs w:val="32"/>
        </w:rPr>
        <w:t>What are the implications for single-sex spaces and services</w:t>
      </w:r>
    </w:p>
    <w:p w14:paraId="4F8C5493" w14:textId="77777777" w:rsidR="00A70D38" w:rsidRPr="00A70D38" w:rsidRDefault="00A70D38" w:rsidP="00A70D38">
      <w:pPr>
        <w:spacing w:after="0" w:line="240" w:lineRule="auto"/>
        <w:rPr>
          <w:rFonts w:eastAsia="Times New Roman" w:cs="Times New Roman"/>
          <w:color w:val="000000"/>
          <w:kern w:val="0"/>
          <w:lang w:eastAsia="en-GB"/>
          <w14:ligatures w14:val="none"/>
        </w:rPr>
      </w:pPr>
      <w:r w:rsidRPr="00A70D38">
        <w:rPr>
          <w:rFonts w:eastAsia="Times New Roman" w:cs="Times New Roman"/>
          <w:color w:val="000000"/>
          <w:kern w:val="0"/>
          <w:lang w:eastAsia="en-GB"/>
          <w14:ligatures w14:val="none"/>
        </w:rPr>
        <w:t>The ruling makes it lawful, and in some contexts expected, to run single</w:t>
      </w:r>
      <w:r w:rsidRPr="00A70D38">
        <w:rPr>
          <w:rFonts w:eastAsia="Times New Roman" w:cs="Times New Roman"/>
          <w:color w:val="000000"/>
          <w:kern w:val="0"/>
          <w:lang w:eastAsia="en-GB"/>
          <w14:ligatures w14:val="none"/>
        </w:rPr>
        <w:noBreakHyphen/>
        <w:t>sex spaces strictly by biological sex.</w:t>
      </w:r>
    </w:p>
    <w:p w14:paraId="61C6B142" w14:textId="77777777" w:rsidR="00A70D38" w:rsidRPr="00A70D38" w:rsidRDefault="00A70D38" w:rsidP="00A70D38">
      <w:pPr>
        <w:numPr>
          <w:ilvl w:val="0"/>
          <w:numId w:val="1"/>
        </w:numPr>
        <w:spacing w:after="0" w:line="240" w:lineRule="auto"/>
        <w:rPr>
          <w:rFonts w:eastAsia="Times New Roman" w:cs="Times New Roman"/>
          <w:color w:val="000000"/>
          <w:kern w:val="0"/>
          <w:lang w:eastAsia="en-GB"/>
          <w14:ligatures w14:val="none"/>
        </w:rPr>
      </w:pPr>
      <w:r w:rsidRPr="00A70D38">
        <w:rPr>
          <w:rFonts w:eastAsia="Times New Roman" w:cs="Times New Roman"/>
          <w:color w:val="000000"/>
          <w:kern w:val="0"/>
          <w:lang w:eastAsia="en-GB"/>
          <w14:ligatures w14:val="none"/>
        </w:rPr>
        <w:t>“Sex” in the Equality Act now clearly means biological sex, so a space or service is only legally “single</w:t>
      </w:r>
      <w:r w:rsidRPr="00A70D38">
        <w:rPr>
          <w:rFonts w:eastAsia="Times New Roman" w:cs="Times New Roman"/>
          <w:color w:val="000000"/>
          <w:kern w:val="0"/>
          <w:lang w:eastAsia="en-GB"/>
          <w14:ligatures w14:val="none"/>
        </w:rPr>
        <w:noBreakHyphen/>
        <w:t xml:space="preserve">sex” if access is restricted to people of that birth sex. </w:t>
      </w:r>
    </w:p>
    <w:p w14:paraId="0726C46A" w14:textId="77777777" w:rsidR="00A70D38" w:rsidRPr="00A70D38" w:rsidRDefault="00A70D38" w:rsidP="00A70D38">
      <w:pPr>
        <w:numPr>
          <w:ilvl w:val="0"/>
          <w:numId w:val="1"/>
        </w:numPr>
        <w:spacing w:after="0" w:line="240" w:lineRule="auto"/>
        <w:rPr>
          <w:rFonts w:eastAsia="Times New Roman" w:cs="Times New Roman"/>
          <w:color w:val="000000"/>
          <w:kern w:val="0"/>
          <w:lang w:eastAsia="en-GB"/>
          <w14:ligatures w14:val="none"/>
        </w:rPr>
      </w:pPr>
      <w:r w:rsidRPr="00A70D38">
        <w:rPr>
          <w:rFonts w:eastAsia="Times New Roman" w:cs="Times New Roman"/>
          <w:color w:val="000000"/>
          <w:kern w:val="0"/>
          <w:lang w:eastAsia="en-GB"/>
          <w14:ligatures w14:val="none"/>
        </w:rPr>
        <w:t>The judgment means a GRC no longer makes a person a “woman” or “man” for Equality Act purposes; trans people with a GRC rely on gender</w:t>
      </w:r>
      <w:r w:rsidRPr="00A70D38">
        <w:rPr>
          <w:rFonts w:eastAsia="Times New Roman" w:cs="Times New Roman"/>
          <w:color w:val="000000"/>
          <w:kern w:val="0"/>
          <w:lang w:eastAsia="en-GB"/>
          <w14:ligatures w14:val="none"/>
        </w:rPr>
        <w:noBreakHyphen/>
        <w:t>reassignment protection rather than being treated as their acquired sex for sex</w:t>
      </w:r>
      <w:r w:rsidRPr="00A70D38">
        <w:rPr>
          <w:rFonts w:eastAsia="Times New Roman" w:cs="Times New Roman"/>
          <w:color w:val="000000"/>
          <w:kern w:val="0"/>
          <w:lang w:eastAsia="en-GB"/>
          <w14:ligatures w14:val="none"/>
        </w:rPr>
        <w:noBreakHyphen/>
        <w:t>based rights, single</w:t>
      </w:r>
      <w:r w:rsidRPr="00A70D38">
        <w:rPr>
          <w:rFonts w:eastAsia="Times New Roman" w:cs="Times New Roman"/>
          <w:color w:val="000000"/>
          <w:kern w:val="0"/>
          <w:lang w:eastAsia="en-GB"/>
          <w14:ligatures w14:val="none"/>
        </w:rPr>
        <w:noBreakHyphen/>
        <w:t>sex services or positive</w:t>
      </w:r>
      <w:r w:rsidRPr="00A70D38">
        <w:rPr>
          <w:rFonts w:eastAsia="Times New Roman" w:cs="Times New Roman"/>
          <w:color w:val="000000"/>
          <w:kern w:val="0"/>
          <w:lang w:eastAsia="en-GB"/>
          <w14:ligatures w14:val="none"/>
        </w:rPr>
        <w:noBreakHyphen/>
        <w:t xml:space="preserve">action schemes. </w:t>
      </w:r>
    </w:p>
    <w:p w14:paraId="5BAE519B" w14:textId="77777777" w:rsidR="00A70D38" w:rsidRPr="00A70D38" w:rsidRDefault="00A70D38" w:rsidP="00A70D38">
      <w:pPr>
        <w:numPr>
          <w:ilvl w:val="0"/>
          <w:numId w:val="1"/>
        </w:numPr>
        <w:spacing w:after="0" w:line="240" w:lineRule="auto"/>
        <w:rPr>
          <w:rFonts w:eastAsia="Times New Roman" w:cs="Times New Roman"/>
          <w:color w:val="000000"/>
          <w:kern w:val="0"/>
          <w:lang w:eastAsia="en-GB"/>
          <w14:ligatures w14:val="none"/>
        </w:rPr>
      </w:pPr>
      <w:r w:rsidRPr="00A70D38">
        <w:rPr>
          <w:rFonts w:eastAsia="Times New Roman" w:cs="Times New Roman"/>
          <w:color w:val="000000"/>
          <w:kern w:val="0"/>
          <w:lang w:eastAsia="en-GB"/>
          <w14:ligatures w14:val="none"/>
        </w:rPr>
        <w:t>Single</w:t>
      </w:r>
      <w:r w:rsidRPr="00A70D38">
        <w:rPr>
          <w:rFonts w:eastAsia="Times New Roman" w:cs="Times New Roman"/>
          <w:color w:val="000000"/>
          <w:kern w:val="0"/>
          <w:lang w:eastAsia="en-GB"/>
          <w14:ligatures w14:val="none"/>
        </w:rPr>
        <w:noBreakHyphen/>
        <w:t xml:space="preserve">sex services are still optional, but where provided they must pursue a legitimate aim (e.g. privacy, safety, dignity) and be a proportionate way to achieve it. </w:t>
      </w:r>
    </w:p>
    <w:p w14:paraId="71572FF9" w14:textId="77777777" w:rsidR="00A70D38" w:rsidRDefault="00A70D38" w:rsidP="00A70D38">
      <w:pPr>
        <w:spacing w:after="0" w:line="240" w:lineRule="auto"/>
        <w:outlineLvl w:val="1"/>
        <w:rPr>
          <w:rFonts w:eastAsia="Times New Roman" w:cs="Times New Roman"/>
          <w:b/>
          <w:bCs/>
          <w:color w:val="000000"/>
          <w:kern w:val="0"/>
          <w:sz w:val="36"/>
          <w:szCs w:val="36"/>
          <w:lang w:eastAsia="en-GB"/>
          <w14:ligatures w14:val="none"/>
        </w:rPr>
      </w:pPr>
    </w:p>
    <w:p w14:paraId="21782012" w14:textId="5FFC690E" w:rsidR="00D03063" w:rsidRPr="00A70D38" w:rsidRDefault="00D03063" w:rsidP="00A70D38">
      <w:pPr>
        <w:spacing w:after="0" w:line="240" w:lineRule="auto"/>
        <w:outlineLvl w:val="1"/>
        <w:rPr>
          <w:rFonts w:eastAsia="Times New Roman" w:cs="Times New Roman"/>
          <w:b/>
          <w:bCs/>
          <w:color w:val="000000"/>
          <w:kern w:val="0"/>
          <w:sz w:val="32"/>
          <w:szCs w:val="32"/>
          <w:lang w:eastAsia="en-GB"/>
          <w14:ligatures w14:val="none"/>
        </w:rPr>
      </w:pPr>
      <w:r w:rsidRPr="00A70D38">
        <w:rPr>
          <w:rFonts w:eastAsia="Times New Roman" w:cs="Times New Roman"/>
          <w:b/>
          <w:bCs/>
          <w:color w:val="000000"/>
          <w:kern w:val="0"/>
          <w:sz w:val="32"/>
          <w:szCs w:val="32"/>
          <w:lang w:eastAsia="en-GB"/>
          <w14:ligatures w14:val="none"/>
        </w:rPr>
        <w:t>Impact on governments, regulators and organisations</w:t>
      </w:r>
    </w:p>
    <w:p w14:paraId="2A489DA1" w14:textId="6456F2B4" w:rsidR="00F21DFF" w:rsidRPr="00A70D38" w:rsidRDefault="00D03063" w:rsidP="00A70D38">
      <w:pPr>
        <w:pStyle w:val="ListParagraph"/>
        <w:numPr>
          <w:ilvl w:val="0"/>
          <w:numId w:val="4"/>
        </w:numPr>
        <w:spacing w:after="0" w:line="240" w:lineRule="auto"/>
        <w:rPr>
          <w:rFonts w:eastAsia="Times New Roman" w:cs="Times New Roman"/>
          <w:color w:val="000000"/>
          <w:kern w:val="0"/>
          <w:lang w:eastAsia="en-GB"/>
          <w14:ligatures w14:val="none"/>
        </w:rPr>
      </w:pPr>
      <w:r w:rsidRPr="00A70D38">
        <w:rPr>
          <w:rFonts w:eastAsia="Times New Roman" w:cs="Times New Roman"/>
          <w:color w:val="000000"/>
          <w:kern w:val="0"/>
          <w:lang w:eastAsia="en-GB"/>
          <w14:ligatures w14:val="none"/>
        </w:rPr>
        <w:t>The Scottish Government accepted that its prior guidance on the 2018 Act was incorrect and is revising it, stressing that all public bodies must now align policies with the Supreme Court’s biological</w:t>
      </w:r>
      <w:r w:rsidRPr="00A70D38">
        <w:rPr>
          <w:rFonts w:eastAsia="Times New Roman" w:cs="Times New Roman"/>
          <w:color w:val="000000"/>
          <w:kern w:val="0"/>
          <w:lang w:eastAsia="en-GB"/>
          <w14:ligatures w14:val="none"/>
        </w:rPr>
        <w:noBreakHyphen/>
        <w:t>sex interpretation while still complying with human</w:t>
      </w:r>
      <w:r w:rsidRPr="00A70D38">
        <w:rPr>
          <w:rFonts w:eastAsia="Times New Roman" w:cs="Times New Roman"/>
          <w:color w:val="000000"/>
          <w:kern w:val="0"/>
          <w:lang w:eastAsia="en-GB"/>
          <w14:ligatures w14:val="none"/>
        </w:rPr>
        <w:noBreakHyphen/>
        <w:t xml:space="preserve">rights duties. </w:t>
      </w:r>
    </w:p>
    <w:p w14:paraId="23133189" w14:textId="2E254C5D" w:rsidR="00F21DFF" w:rsidRPr="00A70D38" w:rsidRDefault="00D03063" w:rsidP="00A70D38">
      <w:pPr>
        <w:pStyle w:val="ListParagraph"/>
        <w:numPr>
          <w:ilvl w:val="0"/>
          <w:numId w:val="4"/>
        </w:numPr>
        <w:spacing w:after="0" w:line="240" w:lineRule="auto"/>
        <w:rPr>
          <w:rFonts w:eastAsia="Times New Roman" w:cs="Times New Roman"/>
          <w:color w:val="000000"/>
          <w:kern w:val="0"/>
          <w:lang w:eastAsia="en-GB"/>
          <w14:ligatures w14:val="none"/>
        </w:rPr>
      </w:pPr>
      <w:r w:rsidRPr="00A70D38">
        <w:rPr>
          <w:rFonts w:eastAsia="Times New Roman" w:cs="Times New Roman"/>
          <w:color w:val="000000"/>
          <w:kern w:val="0"/>
          <w:lang w:eastAsia="en-GB"/>
          <w14:ligatures w14:val="none"/>
        </w:rPr>
        <w:t xml:space="preserve">The </w:t>
      </w:r>
      <w:r w:rsidR="00A70D38" w:rsidRPr="00A70D38">
        <w:rPr>
          <w:rFonts w:eastAsia="Times New Roman" w:cs="Times New Roman"/>
          <w:color w:val="000000"/>
          <w:kern w:val="0"/>
          <w:lang w:eastAsia="en-GB"/>
          <w14:ligatures w14:val="none"/>
        </w:rPr>
        <w:t xml:space="preserve">UK </w:t>
      </w:r>
      <w:r w:rsidRPr="00A70D38">
        <w:rPr>
          <w:rFonts w:eastAsia="Times New Roman" w:cs="Times New Roman"/>
          <w:color w:val="000000"/>
          <w:kern w:val="0"/>
          <w:lang w:eastAsia="en-GB"/>
          <w14:ligatures w14:val="none"/>
        </w:rPr>
        <w:t xml:space="preserve">Equality and Human Rights Commission </w:t>
      </w:r>
      <w:r w:rsidR="00A70D38" w:rsidRPr="00A70D38">
        <w:rPr>
          <w:rFonts w:eastAsia="Times New Roman" w:cs="Times New Roman"/>
          <w:color w:val="000000"/>
          <w:kern w:val="0"/>
          <w:lang w:eastAsia="en-GB"/>
          <w14:ligatures w14:val="none"/>
        </w:rPr>
        <w:t xml:space="preserve">(EHRC) </w:t>
      </w:r>
      <w:r w:rsidRPr="00A70D38">
        <w:rPr>
          <w:rFonts w:eastAsia="Times New Roman" w:cs="Times New Roman"/>
          <w:color w:val="000000"/>
          <w:kern w:val="0"/>
          <w:lang w:eastAsia="en-GB"/>
          <w14:ligatures w14:val="none"/>
        </w:rPr>
        <w:t xml:space="preserve">has issued interim updates and committed to revise its statutory Codes of Practice and guidance to reflect that “sex” in the Equality Act means biological sex, which will shape how tribunals and organisations handle discrimination and harassment claims. </w:t>
      </w:r>
    </w:p>
    <w:p w14:paraId="623AF11B" w14:textId="77777777" w:rsidR="00F21DFF" w:rsidRPr="00A70D38" w:rsidRDefault="00D03063" w:rsidP="00A70D38">
      <w:pPr>
        <w:pStyle w:val="ListParagraph"/>
        <w:numPr>
          <w:ilvl w:val="0"/>
          <w:numId w:val="4"/>
        </w:numPr>
        <w:spacing w:after="0" w:line="240" w:lineRule="auto"/>
        <w:rPr>
          <w:rFonts w:eastAsia="Times New Roman" w:cs="Times New Roman"/>
          <w:color w:val="000000"/>
          <w:kern w:val="0"/>
          <w:lang w:eastAsia="en-GB"/>
          <w14:ligatures w14:val="none"/>
        </w:rPr>
      </w:pPr>
      <w:r w:rsidRPr="00A70D38">
        <w:rPr>
          <w:rFonts w:eastAsia="Times New Roman" w:cs="Times New Roman"/>
          <w:color w:val="000000"/>
          <w:kern w:val="0"/>
          <w:lang w:eastAsia="en-GB"/>
          <w14:ligatures w14:val="none"/>
        </w:rPr>
        <w:lastRenderedPageBreak/>
        <w:t>Public authorities, charities and private organisations are already reviewing policies on single</w:t>
      </w:r>
      <w:r w:rsidRPr="00A70D38">
        <w:rPr>
          <w:rFonts w:eastAsia="Times New Roman" w:cs="Times New Roman"/>
          <w:color w:val="000000"/>
          <w:kern w:val="0"/>
          <w:lang w:eastAsia="en-GB"/>
          <w14:ligatures w14:val="none"/>
        </w:rPr>
        <w:noBreakHyphen/>
        <w:t>sex services, changing rooms, hospital wards, schools, prisons and board</w:t>
      </w:r>
      <w:r w:rsidRPr="00A70D38">
        <w:rPr>
          <w:rFonts w:eastAsia="Times New Roman" w:cs="Times New Roman"/>
          <w:color w:val="000000"/>
          <w:kern w:val="0"/>
          <w:lang w:eastAsia="en-GB"/>
          <w14:ligatures w14:val="none"/>
        </w:rPr>
        <w:noBreakHyphen/>
        <w:t>level quotas to ensure that any inclusion of trans people is structured either via gender</w:t>
      </w:r>
      <w:r w:rsidRPr="00A70D38">
        <w:rPr>
          <w:rFonts w:eastAsia="Times New Roman" w:cs="Times New Roman"/>
          <w:color w:val="000000"/>
          <w:kern w:val="0"/>
          <w:lang w:eastAsia="en-GB"/>
          <w14:ligatures w14:val="none"/>
        </w:rPr>
        <w:noBreakHyphen/>
        <w:t xml:space="preserve">reassignment protection, separate facilities or carefully justified exceptions, rather than by treating a GRC as changing sex under the Act. </w:t>
      </w:r>
    </w:p>
    <w:p w14:paraId="187307E4" w14:textId="6815FDF9" w:rsidR="00D03063" w:rsidRPr="00A70D38" w:rsidRDefault="00D03063" w:rsidP="00A70D38">
      <w:pPr>
        <w:pStyle w:val="ListParagraph"/>
        <w:numPr>
          <w:ilvl w:val="0"/>
          <w:numId w:val="4"/>
        </w:numPr>
        <w:spacing w:after="0" w:line="240" w:lineRule="auto"/>
        <w:rPr>
          <w:rFonts w:eastAsia="Times New Roman" w:cs="Times New Roman"/>
          <w:color w:val="000000"/>
          <w:kern w:val="0"/>
          <w:lang w:eastAsia="en-GB"/>
          <w14:ligatures w14:val="none"/>
        </w:rPr>
      </w:pPr>
      <w:r w:rsidRPr="00A70D38">
        <w:rPr>
          <w:rFonts w:eastAsia="Times New Roman" w:cs="Times New Roman"/>
          <w:color w:val="000000"/>
          <w:kern w:val="0"/>
          <w:lang w:eastAsia="en-GB"/>
          <w14:ligatures w14:val="none"/>
        </w:rPr>
        <w:t>In sectors like hospitality, leisure and local government, legal advisers are warning that organisations will need clear, written rationales for how they balance biological</w:t>
      </w:r>
      <w:r w:rsidRPr="00A70D38">
        <w:rPr>
          <w:rFonts w:eastAsia="Times New Roman" w:cs="Times New Roman"/>
          <w:color w:val="000000"/>
          <w:kern w:val="0"/>
          <w:lang w:eastAsia="en-GB"/>
          <w14:ligatures w14:val="none"/>
        </w:rPr>
        <w:noBreakHyphen/>
        <w:t>sex</w:t>
      </w:r>
      <w:r w:rsidRPr="00A70D38">
        <w:rPr>
          <w:rFonts w:eastAsia="Times New Roman" w:cs="Times New Roman"/>
          <w:color w:val="000000"/>
          <w:kern w:val="0"/>
          <w:lang w:eastAsia="en-GB"/>
          <w14:ligatures w14:val="none"/>
        </w:rPr>
        <w:noBreakHyphen/>
        <w:t>based rules with duties to avoid discrimination against trans people, and to be ready for increased litigation testing the boundaries of the new framework.</w:t>
      </w:r>
      <w:r w:rsidR="00F21DFF" w:rsidRPr="00A70D38">
        <w:rPr>
          <w:rFonts w:eastAsia="Times New Roman" w:cs="Times New Roman"/>
          <w:color w:val="000000"/>
          <w:kern w:val="0"/>
          <w:lang w:eastAsia="en-GB"/>
          <w14:ligatures w14:val="none"/>
        </w:rPr>
        <w:t xml:space="preserve"> </w:t>
      </w:r>
    </w:p>
    <w:p w14:paraId="60FE15EF" w14:textId="77777777" w:rsidR="00A70D38" w:rsidRDefault="00A70D38" w:rsidP="00A70D38">
      <w:pPr>
        <w:spacing w:after="0" w:line="240" w:lineRule="auto"/>
        <w:outlineLvl w:val="1"/>
        <w:rPr>
          <w:rFonts w:eastAsia="Times New Roman" w:cs="Times New Roman"/>
          <w:b/>
          <w:bCs/>
          <w:color w:val="000000"/>
          <w:kern w:val="0"/>
          <w:sz w:val="36"/>
          <w:szCs w:val="36"/>
          <w:lang w:eastAsia="en-GB"/>
          <w14:ligatures w14:val="none"/>
        </w:rPr>
      </w:pPr>
    </w:p>
    <w:p w14:paraId="1E8FCDB4" w14:textId="0024C9F4" w:rsidR="00F21DFF" w:rsidRPr="00A70D38" w:rsidRDefault="00F21DFF" w:rsidP="00A70D38">
      <w:pPr>
        <w:spacing w:after="0" w:line="240" w:lineRule="auto"/>
        <w:outlineLvl w:val="1"/>
        <w:rPr>
          <w:rFonts w:eastAsia="Times New Roman" w:cs="Times New Roman"/>
          <w:b/>
          <w:bCs/>
          <w:color w:val="000000"/>
          <w:kern w:val="0"/>
          <w:sz w:val="32"/>
          <w:szCs w:val="32"/>
          <w:lang w:eastAsia="en-GB"/>
          <w14:ligatures w14:val="none"/>
        </w:rPr>
      </w:pPr>
      <w:r w:rsidRPr="00A70D38">
        <w:rPr>
          <w:rFonts w:eastAsia="Times New Roman" w:cs="Times New Roman"/>
          <w:b/>
          <w:bCs/>
          <w:color w:val="000000"/>
          <w:kern w:val="0"/>
          <w:sz w:val="32"/>
          <w:szCs w:val="32"/>
          <w:lang w:eastAsia="en-GB"/>
          <w14:ligatures w14:val="none"/>
        </w:rPr>
        <w:t>How organisations respond</w:t>
      </w:r>
      <w:r w:rsidR="00114C92">
        <w:rPr>
          <w:rFonts w:eastAsia="Times New Roman" w:cs="Times New Roman"/>
          <w:b/>
          <w:bCs/>
          <w:color w:val="000000"/>
          <w:kern w:val="0"/>
          <w:sz w:val="32"/>
          <w:szCs w:val="32"/>
          <w:lang w:eastAsia="en-GB"/>
          <w14:ligatures w14:val="none"/>
        </w:rPr>
        <w:t>ed</w:t>
      </w:r>
    </w:p>
    <w:p w14:paraId="0DD32F76" w14:textId="3A21C631" w:rsidR="00F21DFF" w:rsidRPr="00A70D38" w:rsidRDefault="00F21DFF" w:rsidP="00A70D38">
      <w:pPr>
        <w:numPr>
          <w:ilvl w:val="0"/>
          <w:numId w:val="2"/>
        </w:numPr>
        <w:spacing w:after="0" w:line="240" w:lineRule="auto"/>
        <w:rPr>
          <w:rFonts w:eastAsia="Times New Roman" w:cs="Times New Roman"/>
          <w:color w:val="000000"/>
          <w:kern w:val="0"/>
          <w:lang w:eastAsia="en-GB"/>
          <w14:ligatures w14:val="none"/>
        </w:rPr>
      </w:pPr>
      <w:r w:rsidRPr="00A70D38">
        <w:rPr>
          <w:rFonts w:eastAsia="Times New Roman" w:cs="Times New Roman"/>
          <w:color w:val="000000"/>
          <w:kern w:val="0"/>
          <w:lang w:eastAsia="en-GB"/>
          <w14:ligatures w14:val="none"/>
        </w:rPr>
        <w:t>The EHRC’s interim update indicated that trans women should not use women’s facilities and trans men should not use men’s facilities where those spaces are designated as single</w:t>
      </w:r>
      <w:r w:rsidRPr="00A70D38">
        <w:rPr>
          <w:rFonts w:eastAsia="Times New Roman" w:cs="Times New Roman"/>
          <w:color w:val="000000"/>
          <w:kern w:val="0"/>
          <w:lang w:eastAsia="en-GB"/>
          <w14:ligatures w14:val="none"/>
        </w:rPr>
        <w:noBreakHyphen/>
        <w:t>sex; organisations are instead encouraged to add mixed</w:t>
      </w:r>
      <w:r w:rsidRPr="00A70D38">
        <w:rPr>
          <w:rFonts w:eastAsia="Times New Roman" w:cs="Times New Roman"/>
          <w:color w:val="000000"/>
          <w:kern w:val="0"/>
          <w:lang w:eastAsia="en-GB"/>
          <w14:ligatures w14:val="none"/>
        </w:rPr>
        <w:noBreakHyphen/>
        <w:t>sex or individual</w:t>
      </w:r>
      <w:r w:rsidRPr="00A70D38">
        <w:rPr>
          <w:rFonts w:eastAsia="Times New Roman" w:cs="Times New Roman"/>
          <w:color w:val="000000"/>
          <w:kern w:val="0"/>
          <w:lang w:eastAsia="en-GB"/>
          <w14:ligatures w14:val="none"/>
        </w:rPr>
        <w:noBreakHyphen/>
        <w:t>use facilities alongside single</w:t>
      </w:r>
      <w:r w:rsidRPr="00A70D38">
        <w:rPr>
          <w:rFonts w:eastAsia="Times New Roman" w:cs="Times New Roman"/>
          <w:color w:val="000000"/>
          <w:kern w:val="0"/>
          <w:lang w:eastAsia="en-GB"/>
          <w14:ligatures w14:val="none"/>
        </w:rPr>
        <w:noBreakHyphen/>
        <w:t>sex ones.</w:t>
      </w:r>
      <w:r w:rsidR="005C27E9" w:rsidRPr="00A70D38">
        <w:rPr>
          <w:rFonts w:eastAsia="Times New Roman" w:cs="Times New Roman"/>
          <w:color w:val="000000"/>
          <w:kern w:val="0"/>
          <w:lang w:eastAsia="en-GB"/>
          <w14:ligatures w14:val="none"/>
        </w:rPr>
        <w:t xml:space="preserve"> </w:t>
      </w:r>
    </w:p>
    <w:p w14:paraId="1E6438A2" w14:textId="77777777" w:rsidR="00114C92" w:rsidRPr="00114C92" w:rsidRDefault="00114C92" w:rsidP="00114C92">
      <w:pPr>
        <w:pStyle w:val="ListParagraph"/>
        <w:numPr>
          <w:ilvl w:val="0"/>
          <w:numId w:val="2"/>
        </w:numPr>
        <w:spacing w:after="0" w:line="240" w:lineRule="auto"/>
        <w:rPr>
          <w:rFonts w:eastAsia="Times New Roman" w:cs="Times New Roman"/>
          <w:color w:val="000000"/>
          <w:kern w:val="0"/>
          <w:lang w:eastAsia="en-GB"/>
          <w14:ligatures w14:val="none"/>
        </w:rPr>
      </w:pPr>
      <w:r w:rsidRPr="00114C92">
        <w:rPr>
          <w:rFonts w:eastAsia="Times New Roman" w:cs="Times New Roman"/>
          <w:color w:val="000000"/>
          <w:kern w:val="0"/>
          <w:lang w:eastAsia="en-GB"/>
          <w14:ligatures w14:val="none"/>
        </w:rPr>
        <w:t>Many employers and service providers now treat single</w:t>
      </w:r>
      <w:r w:rsidRPr="00114C92">
        <w:rPr>
          <w:rFonts w:ascii="Cambria Math" w:eastAsia="Times New Roman" w:hAnsi="Cambria Math" w:cs="Cambria Math"/>
          <w:color w:val="000000"/>
          <w:kern w:val="0"/>
          <w:lang w:eastAsia="en-GB"/>
          <w14:ligatures w14:val="none"/>
        </w:rPr>
        <w:t>‑</w:t>
      </w:r>
      <w:r w:rsidRPr="00114C92">
        <w:rPr>
          <w:rFonts w:eastAsia="Times New Roman" w:cs="Times New Roman"/>
          <w:color w:val="000000"/>
          <w:kern w:val="0"/>
          <w:lang w:eastAsia="en-GB"/>
          <w14:ligatures w14:val="none"/>
        </w:rPr>
        <w:t>sex facilities as being for biological sex, rather than the self</w:t>
      </w:r>
      <w:r w:rsidRPr="00114C92">
        <w:rPr>
          <w:rFonts w:ascii="Cambria Math" w:eastAsia="Times New Roman" w:hAnsi="Cambria Math" w:cs="Cambria Math"/>
          <w:color w:val="000000"/>
          <w:kern w:val="0"/>
          <w:lang w:eastAsia="en-GB"/>
          <w14:ligatures w14:val="none"/>
        </w:rPr>
        <w:t>‑</w:t>
      </w:r>
      <w:r w:rsidRPr="00114C92">
        <w:rPr>
          <w:rFonts w:eastAsia="Times New Roman" w:cs="Times New Roman"/>
          <w:color w:val="000000"/>
          <w:kern w:val="0"/>
          <w:lang w:eastAsia="en-GB"/>
          <w14:ligatures w14:val="none"/>
        </w:rPr>
        <w:t xml:space="preserve">declared gender of the individual. </w:t>
      </w:r>
    </w:p>
    <w:p w14:paraId="10075933" w14:textId="6E731A97" w:rsidR="00A70D38" w:rsidRPr="00A70D38" w:rsidRDefault="005C27E9" w:rsidP="00A70D38">
      <w:pPr>
        <w:numPr>
          <w:ilvl w:val="0"/>
          <w:numId w:val="2"/>
        </w:numPr>
        <w:spacing w:after="0" w:line="240" w:lineRule="auto"/>
        <w:rPr>
          <w:rFonts w:eastAsia="Times New Roman" w:cs="Times New Roman"/>
          <w:color w:val="000000"/>
          <w:kern w:val="0"/>
          <w:lang w:eastAsia="en-GB"/>
          <w14:ligatures w14:val="none"/>
        </w:rPr>
      </w:pPr>
      <w:r w:rsidRPr="00A70D38">
        <w:rPr>
          <w:rFonts w:eastAsia="Times New Roman" w:cs="Times New Roman"/>
          <w:color w:val="000000"/>
          <w:kern w:val="0"/>
          <w:lang w:eastAsia="en-GB"/>
          <w14:ligatures w14:val="none"/>
        </w:rPr>
        <w:t>E</w:t>
      </w:r>
      <w:r w:rsidR="00F21DFF" w:rsidRPr="00A70D38">
        <w:rPr>
          <w:rFonts w:eastAsia="Times New Roman" w:cs="Times New Roman"/>
          <w:color w:val="000000"/>
          <w:kern w:val="0"/>
          <w:lang w:eastAsia="en-GB"/>
          <w14:ligatures w14:val="none"/>
        </w:rPr>
        <w:t xml:space="preserve">mployers, councils, gyms, schools, shelters and similar bodies </w:t>
      </w:r>
      <w:r w:rsidRPr="00A70D38">
        <w:rPr>
          <w:rFonts w:eastAsia="Times New Roman" w:cs="Times New Roman"/>
          <w:color w:val="000000"/>
          <w:kern w:val="0"/>
          <w:lang w:eastAsia="en-GB"/>
          <w14:ligatures w14:val="none"/>
        </w:rPr>
        <w:t>must</w:t>
      </w:r>
      <w:r w:rsidR="00F21DFF" w:rsidRPr="00A70D38">
        <w:rPr>
          <w:rFonts w:eastAsia="Times New Roman" w:cs="Times New Roman"/>
          <w:color w:val="000000"/>
          <w:kern w:val="0"/>
          <w:lang w:eastAsia="en-GB"/>
          <w14:ligatures w14:val="none"/>
        </w:rPr>
        <w:t xml:space="preserve"> review all policies that refer to “sex” or “single</w:t>
      </w:r>
      <w:r w:rsidR="00F21DFF" w:rsidRPr="00A70D38">
        <w:rPr>
          <w:rFonts w:eastAsia="Times New Roman" w:cs="Times New Roman"/>
          <w:color w:val="000000"/>
          <w:kern w:val="0"/>
          <w:lang w:eastAsia="en-GB"/>
          <w14:ligatures w14:val="none"/>
        </w:rPr>
        <w:noBreakHyphen/>
        <w:t>sex” spaces, ensure signage and policy language reflect biological sex</w:t>
      </w:r>
      <w:r w:rsidR="00114C92">
        <w:rPr>
          <w:rFonts w:eastAsia="Times New Roman" w:cs="Times New Roman"/>
          <w:color w:val="000000"/>
          <w:kern w:val="0"/>
          <w:lang w:eastAsia="en-GB"/>
          <w14:ligatures w14:val="none"/>
        </w:rPr>
        <w:t>.</w:t>
      </w:r>
      <w:r w:rsidRPr="00A70D38">
        <w:rPr>
          <w:rFonts w:eastAsia="Times New Roman" w:cs="Times New Roman"/>
          <w:color w:val="000000"/>
          <w:kern w:val="0"/>
          <w:lang w:eastAsia="en-GB"/>
          <w14:ligatures w14:val="none"/>
        </w:rPr>
        <w:t xml:space="preserve"> </w:t>
      </w:r>
    </w:p>
    <w:p w14:paraId="1CCFD8D0" w14:textId="1604A76D" w:rsidR="00A70D38" w:rsidRPr="00A70D38" w:rsidRDefault="00F21DFF" w:rsidP="00A70D38">
      <w:pPr>
        <w:numPr>
          <w:ilvl w:val="0"/>
          <w:numId w:val="2"/>
        </w:numPr>
        <w:spacing w:after="0" w:line="240" w:lineRule="auto"/>
        <w:rPr>
          <w:rFonts w:eastAsia="Times New Roman" w:cs="Times New Roman"/>
          <w:color w:val="000000"/>
          <w:kern w:val="0"/>
          <w:lang w:eastAsia="en-GB"/>
          <w14:ligatures w14:val="none"/>
        </w:rPr>
      </w:pPr>
      <w:r w:rsidRPr="00A70D38">
        <w:rPr>
          <w:rFonts w:eastAsia="Times New Roman" w:cs="Times New Roman"/>
          <w:color w:val="000000"/>
          <w:kern w:val="0"/>
          <w:lang w:eastAsia="en-GB"/>
          <w14:ligatures w14:val="none"/>
        </w:rPr>
        <w:t>Excluding trans people from single</w:t>
      </w:r>
      <w:r w:rsidRPr="00A70D38">
        <w:rPr>
          <w:rFonts w:eastAsia="Times New Roman" w:cs="Times New Roman"/>
          <w:color w:val="000000"/>
          <w:kern w:val="0"/>
          <w:lang w:eastAsia="en-GB"/>
          <w14:ligatures w14:val="none"/>
        </w:rPr>
        <w:noBreakHyphen/>
        <w:t>sex facilities can still generate discrimination and harassment claims under “gender reassignment”, particularly if they are left with no genuinely equivalent alternative</w:t>
      </w:r>
      <w:r w:rsidR="00114C92">
        <w:rPr>
          <w:rFonts w:eastAsia="Times New Roman" w:cs="Times New Roman"/>
          <w:color w:val="000000"/>
          <w:kern w:val="0"/>
          <w:lang w:eastAsia="en-GB"/>
          <w14:ligatures w14:val="none"/>
        </w:rPr>
        <w:t>.</w:t>
      </w:r>
    </w:p>
    <w:p w14:paraId="62A6111F" w14:textId="4AA9CBF1" w:rsidR="005C27E9" w:rsidRPr="00A70D38" w:rsidRDefault="00F21DFF" w:rsidP="00A70D38">
      <w:pPr>
        <w:numPr>
          <w:ilvl w:val="0"/>
          <w:numId w:val="2"/>
        </w:numPr>
        <w:spacing w:after="0" w:line="240" w:lineRule="auto"/>
        <w:rPr>
          <w:rFonts w:eastAsia="Times New Roman" w:cs="Times New Roman"/>
          <w:color w:val="000000"/>
          <w:kern w:val="0"/>
          <w:lang w:eastAsia="en-GB"/>
          <w14:ligatures w14:val="none"/>
        </w:rPr>
      </w:pPr>
      <w:r w:rsidRPr="00A70D38">
        <w:rPr>
          <w:rFonts w:eastAsia="Times New Roman" w:cs="Times New Roman"/>
          <w:color w:val="000000"/>
          <w:kern w:val="0"/>
          <w:lang w:eastAsia="en-GB"/>
          <w14:ligatures w14:val="none"/>
        </w:rPr>
        <w:t>Conversely, allowing trans people into spaces labelled as single</w:t>
      </w:r>
      <w:r w:rsidRPr="00A70D38">
        <w:rPr>
          <w:rFonts w:eastAsia="Times New Roman" w:cs="Times New Roman"/>
          <w:color w:val="000000"/>
          <w:kern w:val="0"/>
          <w:lang w:eastAsia="en-GB"/>
          <w14:ligatures w14:val="none"/>
        </w:rPr>
        <w:noBreakHyphen/>
        <w:t>sex for their acquired gender may expose organisations to sex</w:t>
      </w:r>
      <w:r w:rsidRPr="00A70D38">
        <w:rPr>
          <w:rFonts w:eastAsia="Times New Roman" w:cs="Times New Roman"/>
          <w:color w:val="000000"/>
          <w:kern w:val="0"/>
          <w:lang w:eastAsia="en-GB"/>
          <w14:ligatures w14:val="none"/>
        </w:rPr>
        <w:noBreakHyphen/>
        <w:t>discrimination challenges from users who say the service is no longer truly single</w:t>
      </w:r>
      <w:r w:rsidRPr="00A70D38">
        <w:rPr>
          <w:rFonts w:eastAsia="Times New Roman" w:cs="Times New Roman"/>
          <w:color w:val="000000"/>
          <w:kern w:val="0"/>
          <w:lang w:eastAsia="en-GB"/>
          <w14:ligatures w14:val="none"/>
        </w:rPr>
        <w:noBreakHyphen/>
        <w:t>sex.</w:t>
      </w:r>
      <w:r w:rsidR="005C27E9" w:rsidRPr="00A70D38">
        <w:rPr>
          <w:rFonts w:eastAsia="Times New Roman" w:cs="Times New Roman"/>
          <w:color w:val="000000"/>
          <w:kern w:val="0"/>
          <w:lang w:eastAsia="en-GB"/>
          <w14:ligatures w14:val="none"/>
        </w:rPr>
        <w:t xml:space="preserve"> </w:t>
      </w:r>
      <w:r w:rsidR="00A70D38" w:rsidRPr="00A70D38">
        <w:rPr>
          <w:rFonts w:eastAsia="Times New Roman" w:cs="Times New Roman"/>
          <w:color w:val="000000"/>
          <w:kern w:val="0"/>
          <w:lang w:eastAsia="en-GB"/>
          <w14:ligatures w14:val="none"/>
        </w:rPr>
        <w:t>For example, i</w:t>
      </w:r>
      <w:r w:rsidR="005C27E9" w:rsidRPr="00A70D38">
        <w:rPr>
          <w:rFonts w:eastAsia="Times New Roman" w:cs="Times New Roman"/>
          <w:color w:val="000000"/>
          <w:kern w:val="0"/>
          <w:lang w:eastAsia="en-GB"/>
          <w14:ligatures w14:val="none"/>
        </w:rPr>
        <w:t>n 2026 a tribunal found that County Durham and Darlington NHS Foundation Trust unlawfully discriminated against and harassed a group of female nurses by requiring them to share a women’s changing room with a transgender woman who was assigned male at birth, in a case about single</w:t>
      </w:r>
      <w:r w:rsidR="005C27E9" w:rsidRPr="00A70D38">
        <w:rPr>
          <w:rFonts w:ascii="Cambria Math" w:eastAsia="Times New Roman" w:hAnsi="Cambria Math" w:cs="Cambria Math"/>
          <w:color w:val="000000"/>
          <w:kern w:val="0"/>
          <w:lang w:eastAsia="en-GB"/>
          <w14:ligatures w14:val="none"/>
        </w:rPr>
        <w:t>‑</w:t>
      </w:r>
      <w:r w:rsidR="005C27E9" w:rsidRPr="00A70D38">
        <w:rPr>
          <w:rFonts w:eastAsia="Times New Roman" w:cs="Times New Roman"/>
          <w:color w:val="000000"/>
          <w:kern w:val="0"/>
          <w:lang w:eastAsia="en-GB"/>
          <w14:ligatures w14:val="none"/>
        </w:rPr>
        <w:t>sex spaces at Darlington Memorial Hospital.</w:t>
      </w:r>
    </w:p>
    <w:p w14:paraId="75F0E971" w14:textId="17EBC44E" w:rsidR="00F21DFF" w:rsidRDefault="00F21DFF" w:rsidP="00A70D38">
      <w:pPr>
        <w:spacing w:after="0" w:line="240" w:lineRule="auto"/>
        <w:ind w:left="720"/>
        <w:rPr>
          <w:rFonts w:eastAsia="Times New Roman" w:cs="Times New Roman"/>
          <w:color w:val="000000"/>
          <w:kern w:val="0"/>
          <w:lang w:eastAsia="en-GB"/>
          <w14:ligatures w14:val="none"/>
        </w:rPr>
      </w:pPr>
    </w:p>
    <w:p w14:paraId="4115A968" w14:textId="77777777" w:rsidR="00B53672" w:rsidRDefault="00B53672" w:rsidP="00A70D38">
      <w:pPr>
        <w:spacing w:after="0" w:line="240" w:lineRule="auto"/>
        <w:ind w:left="720"/>
        <w:rPr>
          <w:rFonts w:eastAsia="Times New Roman" w:cs="Times New Roman"/>
          <w:color w:val="000000"/>
          <w:kern w:val="0"/>
          <w:lang w:eastAsia="en-GB"/>
          <w14:ligatures w14:val="none"/>
        </w:rPr>
      </w:pPr>
    </w:p>
    <w:p w14:paraId="38665C62" w14:textId="04BC0525" w:rsidR="00B53672" w:rsidRPr="00114C92" w:rsidRDefault="00114C92" w:rsidP="00114C92">
      <w:pPr>
        <w:spacing w:after="0" w:line="240" w:lineRule="auto"/>
        <w:rPr>
          <w:rFonts w:eastAsia="Times New Roman" w:cs="Times New Roman"/>
          <w:b/>
          <w:bCs/>
          <w:color w:val="000000"/>
          <w:kern w:val="0"/>
          <w:sz w:val="32"/>
          <w:szCs w:val="32"/>
          <w:lang w:eastAsia="en-GB"/>
          <w14:ligatures w14:val="none"/>
        </w:rPr>
      </w:pPr>
      <w:r w:rsidRPr="00114C92">
        <w:rPr>
          <w:rFonts w:eastAsia="Times New Roman" w:cs="Times New Roman"/>
          <w:b/>
          <w:bCs/>
          <w:color w:val="000000"/>
          <w:kern w:val="0"/>
          <w:sz w:val="32"/>
          <w:szCs w:val="32"/>
          <w:lang w:eastAsia="en-GB"/>
          <w14:ligatures w14:val="none"/>
        </w:rPr>
        <w:t>Attitudes to the ruling</w:t>
      </w:r>
    </w:p>
    <w:p w14:paraId="49F2DD8A" w14:textId="1364E1A6" w:rsidR="00B53672" w:rsidRPr="00114C92" w:rsidRDefault="00114C92" w:rsidP="00114C92">
      <w:pPr>
        <w:pStyle w:val="ListParagraph"/>
        <w:numPr>
          <w:ilvl w:val="0"/>
          <w:numId w:val="5"/>
        </w:numPr>
        <w:spacing w:after="0" w:line="240" w:lineRule="auto"/>
        <w:ind w:left="709"/>
        <w:rPr>
          <w:rFonts w:eastAsia="Times New Roman" w:cs="Times New Roman"/>
          <w:color w:val="000000"/>
          <w:kern w:val="0"/>
          <w:lang w:eastAsia="en-GB"/>
          <w14:ligatures w14:val="none"/>
        </w:rPr>
      </w:pPr>
      <w:r>
        <w:rPr>
          <w:rFonts w:eastAsia="Times New Roman" w:cs="Times New Roman"/>
          <w:color w:val="000000"/>
          <w:kern w:val="0"/>
          <w:lang w:eastAsia="en-GB"/>
          <w14:ligatures w14:val="none"/>
        </w:rPr>
        <w:t>Women’s Rights organisations</w:t>
      </w:r>
      <w:r w:rsidR="00B53672" w:rsidRPr="00114C92">
        <w:rPr>
          <w:rFonts w:eastAsia="Times New Roman" w:cs="Times New Roman"/>
          <w:color w:val="000000"/>
          <w:kern w:val="0"/>
          <w:lang w:eastAsia="en-GB"/>
          <w14:ligatures w14:val="none"/>
        </w:rPr>
        <w:t xml:space="preserve"> like For Women Scotland, Sex Matters, and the LGB Alliance see the ruling as a legal vindication: they argue it finally recognises that women’s sex-based rights exist and that single</w:t>
      </w:r>
      <w:r w:rsidR="00B53672" w:rsidRPr="00114C92">
        <w:rPr>
          <w:rFonts w:ascii="Cambria Math" w:eastAsia="Times New Roman" w:hAnsi="Cambria Math" w:cs="Cambria Math"/>
          <w:color w:val="000000"/>
          <w:kern w:val="0"/>
          <w:lang w:eastAsia="en-GB"/>
          <w14:ligatures w14:val="none"/>
        </w:rPr>
        <w:t>‑</w:t>
      </w:r>
      <w:r w:rsidR="00B53672" w:rsidRPr="00114C92">
        <w:rPr>
          <w:rFonts w:eastAsia="Times New Roman" w:cs="Times New Roman"/>
          <w:color w:val="000000"/>
          <w:kern w:val="0"/>
          <w:lang w:eastAsia="en-GB"/>
          <w14:ligatures w14:val="none"/>
        </w:rPr>
        <w:t xml:space="preserve">sex spaces can be lawfully reserved for biological women where necessary. </w:t>
      </w:r>
    </w:p>
    <w:p w14:paraId="0529CAFB" w14:textId="6E213A5D" w:rsidR="00B53672" w:rsidRPr="00114C92" w:rsidRDefault="00B53672" w:rsidP="00114C92">
      <w:pPr>
        <w:pStyle w:val="ListParagraph"/>
        <w:numPr>
          <w:ilvl w:val="0"/>
          <w:numId w:val="5"/>
        </w:numPr>
        <w:spacing w:after="0" w:line="240" w:lineRule="auto"/>
        <w:ind w:left="709"/>
        <w:rPr>
          <w:rFonts w:eastAsia="Times New Roman" w:cs="Times New Roman"/>
          <w:color w:val="000000"/>
          <w:kern w:val="0"/>
          <w:lang w:eastAsia="en-GB"/>
          <w14:ligatures w14:val="none"/>
        </w:rPr>
      </w:pPr>
      <w:r w:rsidRPr="00114C92">
        <w:rPr>
          <w:rFonts w:eastAsia="Times New Roman" w:cs="Times New Roman"/>
          <w:color w:val="000000"/>
          <w:kern w:val="0"/>
          <w:lang w:eastAsia="en-GB"/>
          <w14:ligatures w14:val="none"/>
        </w:rPr>
        <w:t>For trans rights and LGBTQ+ groups</w:t>
      </w:r>
      <w:r w:rsidR="00114C92">
        <w:rPr>
          <w:rFonts w:eastAsia="Times New Roman" w:cs="Times New Roman"/>
          <w:color w:val="000000"/>
          <w:kern w:val="0"/>
          <w:lang w:eastAsia="en-GB"/>
          <w14:ligatures w14:val="none"/>
        </w:rPr>
        <w:t>, m</w:t>
      </w:r>
      <w:r w:rsidRPr="00114C92">
        <w:rPr>
          <w:rFonts w:eastAsia="Times New Roman" w:cs="Times New Roman"/>
          <w:color w:val="000000"/>
          <w:kern w:val="0"/>
          <w:lang w:eastAsia="en-GB"/>
          <w14:ligatures w14:val="none"/>
        </w:rPr>
        <w:t>any see the ruling as a major setback that emboldens trans</w:t>
      </w:r>
      <w:r w:rsidRPr="00114C92">
        <w:rPr>
          <w:rFonts w:ascii="Cambria Math" w:eastAsia="Times New Roman" w:hAnsi="Cambria Math" w:cs="Cambria Math"/>
          <w:color w:val="000000"/>
          <w:kern w:val="0"/>
          <w:lang w:eastAsia="en-GB"/>
          <w14:ligatures w14:val="none"/>
        </w:rPr>
        <w:t>‑</w:t>
      </w:r>
      <w:r w:rsidRPr="00114C92">
        <w:rPr>
          <w:rFonts w:eastAsia="Times New Roman" w:cs="Times New Roman"/>
          <w:color w:val="000000"/>
          <w:kern w:val="0"/>
          <w:lang w:eastAsia="en-GB"/>
          <w14:ligatures w14:val="none"/>
        </w:rPr>
        <w:t xml:space="preserve">exclusionary rhetoric and increases the risk of trans people being challenged, denied access, or harassed in bathrooms and changing rooms. </w:t>
      </w:r>
    </w:p>
    <w:p w14:paraId="0BE8CB78" w14:textId="77777777" w:rsidR="00B53672" w:rsidRPr="00B53672" w:rsidRDefault="00B53672" w:rsidP="00B53672">
      <w:pPr>
        <w:spacing w:after="0" w:line="240" w:lineRule="auto"/>
        <w:ind w:left="720"/>
        <w:rPr>
          <w:rFonts w:eastAsia="Times New Roman" w:cs="Times New Roman"/>
          <w:color w:val="000000"/>
          <w:kern w:val="0"/>
          <w:lang w:eastAsia="en-GB"/>
          <w14:ligatures w14:val="none"/>
        </w:rPr>
      </w:pPr>
    </w:p>
    <w:p w14:paraId="24D6BF76" w14:textId="77777777" w:rsidR="00A70D38" w:rsidRPr="00A70D38" w:rsidRDefault="00A70D38">
      <w:pPr>
        <w:spacing w:after="0" w:line="240" w:lineRule="auto"/>
      </w:pPr>
    </w:p>
    <w:sectPr w:rsidR="00A70D38" w:rsidRPr="00A70D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C6369"/>
    <w:multiLevelType w:val="multilevel"/>
    <w:tmpl w:val="E7B6F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E67B16"/>
    <w:multiLevelType w:val="multilevel"/>
    <w:tmpl w:val="B89CE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5D0B48"/>
    <w:multiLevelType w:val="hybridMultilevel"/>
    <w:tmpl w:val="D53CFC5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3AC676E0"/>
    <w:multiLevelType w:val="multilevel"/>
    <w:tmpl w:val="9C7CE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4562923"/>
    <w:multiLevelType w:val="hybridMultilevel"/>
    <w:tmpl w:val="B65C5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063"/>
    <w:rsid w:val="00025F42"/>
    <w:rsid w:val="000A2E2E"/>
    <w:rsid w:val="00114C92"/>
    <w:rsid w:val="001A7F43"/>
    <w:rsid w:val="002474FC"/>
    <w:rsid w:val="00265973"/>
    <w:rsid w:val="002C60EB"/>
    <w:rsid w:val="002D217B"/>
    <w:rsid w:val="002D69DA"/>
    <w:rsid w:val="003F099A"/>
    <w:rsid w:val="005C27E9"/>
    <w:rsid w:val="00606707"/>
    <w:rsid w:val="007E1029"/>
    <w:rsid w:val="00947DBA"/>
    <w:rsid w:val="00A60451"/>
    <w:rsid w:val="00A70D38"/>
    <w:rsid w:val="00B53672"/>
    <w:rsid w:val="00C76593"/>
    <w:rsid w:val="00D03063"/>
    <w:rsid w:val="00D0376F"/>
    <w:rsid w:val="00E73929"/>
    <w:rsid w:val="00F21D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D3AC0"/>
  <w15:chartTrackingRefBased/>
  <w15:docId w15:val="{121F662E-F8C2-AA48-8A1C-2C5AAA8DF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030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030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0306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0306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0306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0306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306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306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306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306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0306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0306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0306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0306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30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30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30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3063"/>
    <w:rPr>
      <w:rFonts w:eastAsiaTheme="majorEastAsia" w:cstheme="majorBidi"/>
      <w:color w:val="272727" w:themeColor="text1" w:themeTint="D8"/>
    </w:rPr>
  </w:style>
  <w:style w:type="paragraph" w:styleId="Title">
    <w:name w:val="Title"/>
    <w:basedOn w:val="Normal"/>
    <w:next w:val="Normal"/>
    <w:link w:val="TitleChar"/>
    <w:uiPriority w:val="10"/>
    <w:qFormat/>
    <w:rsid w:val="00D030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30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306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30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3063"/>
    <w:pPr>
      <w:spacing w:before="160"/>
      <w:jc w:val="center"/>
    </w:pPr>
    <w:rPr>
      <w:i/>
      <w:iCs/>
      <w:color w:val="404040" w:themeColor="text1" w:themeTint="BF"/>
    </w:rPr>
  </w:style>
  <w:style w:type="character" w:customStyle="1" w:styleId="QuoteChar">
    <w:name w:val="Quote Char"/>
    <w:basedOn w:val="DefaultParagraphFont"/>
    <w:link w:val="Quote"/>
    <w:uiPriority w:val="29"/>
    <w:rsid w:val="00D03063"/>
    <w:rPr>
      <w:i/>
      <w:iCs/>
      <w:color w:val="404040" w:themeColor="text1" w:themeTint="BF"/>
    </w:rPr>
  </w:style>
  <w:style w:type="paragraph" w:styleId="ListParagraph">
    <w:name w:val="List Paragraph"/>
    <w:basedOn w:val="Normal"/>
    <w:uiPriority w:val="34"/>
    <w:qFormat/>
    <w:rsid w:val="00D03063"/>
    <w:pPr>
      <w:ind w:left="720"/>
      <w:contextualSpacing/>
    </w:pPr>
  </w:style>
  <w:style w:type="character" w:styleId="IntenseEmphasis">
    <w:name w:val="Intense Emphasis"/>
    <w:basedOn w:val="DefaultParagraphFont"/>
    <w:uiPriority w:val="21"/>
    <w:qFormat/>
    <w:rsid w:val="00D03063"/>
    <w:rPr>
      <w:i/>
      <w:iCs/>
      <w:color w:val="0F4761" w:themeColor="accent1" w:themeShade="BF"/>
    </w:rPr>
  </w:style>
  <w:style w:type="paragraph" w:styleId="IntenseQuote">
    <w:name w:val="Intense Quote"/>
    <w:basedOn w:val="Normal"/>
    <w:next w:val="Normal"/>
    <w:link w:val="IntenseQuoteChar"/>
    <w:uiPriority w:val="30"/>
    <w:qFormat/>
    <w:rsid w:val="00D030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3063"/>
    <w:rPr>
      <w:i/>
      <w:iCs/>
      <w:color w:val="0F4761" w:themeColor="accent1" w:themeShade="BF"/>
    </w:rPr>
  </w:style>
  <w:style w:type="character" w:styleId="IntenseReference">
    <w:name w:val="Intense Reference"/>
    <w:basedOn w:val="DefaultParagraphFont"/>
    <w:uiPriority w:val="32"/>
    <w:qFormat/>
    <w:rsid w:val="00D03063"/>
    <w:rPr>
      <w:b/>
      <w:bCs/>
      <w:smallCaps/>
      <w:color w:val="0F4761" w:themeColor="accent1" w:themeShade="BF"/>
      <w:spacing w:val="5"/>
    </w:rPr>
  </w:style>
  <w:style w:type="paragraph" w:customStyle="1" w:styleId="my-2">
    <w:name w:val="my-2"/>
    <w:basedOn w:val="Normal"/>
    <w:rsid w:val="00D03063"/>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DefaultParagraphFont"/>
    <w:rsid w:val="00D03063"/>
  </w:style>
  <w:style w:type="character" w:styleId="Emphasis">
    <w:name w:val="Emphasis"/>
    <w:basedOn w:val="DefaultParagraphFont"/>
    <w:uiPriority w:val="20"/>
    <w:qFormat/>
    <w:rsid w:val="00D03063"/>
    <w:rPr>
      <w:i/>
      <w:iCs/>
    </w:rPr>
  </w:style>
  <w:style w:type="character" w:customStyle="1" w:styleId="citation">
    <w:name w:val="citation"/>
    <w:basedOn w:val="DefaultParagraphFont"/>
    <w:rsid w:val="00D03063"/>
  </w:style>
  <w:style w:type="character" w:customStyle="1" w:styleId="inline-block">
    <w:name w:val="inline-block"/>
    <w:basedOn w:val="DefaultParagraphFont"/>
    <w:rsid w:val="00D03063"/>
  </w:style>
  <w:style w:type="character" w:customStyle="1" w:styleId="opacity-50">
    <w:name w:val="opacity-50"/>
    <w:basedOn w:val="DefaultParagraphFont"/>
    <w:rsid w:val="00D030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813</Words>
  <Characters>4637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Kathy Schindler</dc:creator>
  <cp:keywords/>
  <dc:description/>
  <cp:lastModifiedBy>Aleta</cp:lastModifiedBy>
  <cp:revision>5</cp:revision>
  <dcterms:created xsi:type="dcterms:W3CDTF">2026-01-27T18:28:00Z</dcterms:created>
  <dcterms:modified xsi:type="dcterms:W3CDTF">2026-06-16T10:13:00Z</dcterms:modified>
</cp:coreProperties>
</file>